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b/>
          <w:bCs/>
          <w:sz w:val="44"/>
          <w:szCs w:val="18"/>
          <w:u w:val="single"/>
        </w:rPr>
      </w:pPr>
    </w:p>
    <w:p>
      <w:pPr>
        <w:jc w:val="center"/>
        <w:rPr>
          <w:b/>
          <w:bCs/>
          <w:sz w:val="44"/>
          <w:szCs w:val="18"/>
        </w:rPr>
      </w:pPr>
      <w:r>
        <w:rPr>
          <w:rFonts w:hint="eastAsia"/>
          <w:b/>
          <w:bCs/>
          <w:sz w:val="44"/>
          <w:szCs w:val="18"/>
        </w:rPr>
        <w:t>本科人才专业培养方案</w:t>
      </w:r>
    </w:p>
    <w:p>
      <w:pPr>
        <w:jc w:val="center"/>
        <w:rPr>
          <w:rFonts w:eastAsia="黑体"/>
          <w:b/>
          <w:bCs/>
          <w:sz w:val="26"/>
        </w:rPr>
      </w:pPr>
    </w:p>
    <w:p>
      <w:pPr>
        <w:pStyle w:val="3"/>
        <w:ind w:firstLine="840" w:firstLineChars="300"/>
        <w:rPr>
          <w:rFonts w:ascii="仿宋_GB2312" w:hAnsi="仿宋_GB2312" w:eastAsia="仿宋_GB2312"/>
          <w:bCs w:val="0"/>
          <w:sz w:val="28"/>
        </w:rPr>
      </w:pP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一、专业名称</w:t>
      </w:r>
      <w:r>
        <w:rPr>
          <w:rFonts w:hint="eastAsia" w:hAnsi="仿宋_GB2312"/>
          <w:bCs w:val="0"/>
          <w:szCs w:val="28"/>
        </w:rPr>
        <w:t>（中英文）：</w:t>
      </w:r>
      <w:r>
        <w:rPr>
          <w:rFonts w:hint="eastAsia" w:hAnsi="仿宋_GB2312"/>
          <w:bCs w:val="0"/>
        </w:rPr>
        <w:t xml:space="preserve">  会计学（Accounting）</w:t>
      </w:r>
    </w:p>
    <w:p>
      <w:pPr>
        <w:pStyle w:val="3"/>
        <w:spacing w:line="360" w:lineRule="auto"/>
        <w:ind w:firstLine="1050" w:firstLineChars="5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专业代码 ： </w:t>
      </w:r>
      <w:r>
        <w:rPr>
          <w:rFonts w:hAnsi="仿宋_GB2312"/>
          <w:bCs w:val="0"/>
        </w:rPr>
        <w:t>120203</w:t>
      </w:r>
    </w:p>
    <w:p>
      <w:pPr>
        <w:pStyle w:val="3"/>
        <w:spacing w:line="360" w:lineRule="auto"/>
        <w:ind w:firstLine="630" w:firstLineChars="300"/>
        <w:rPr>
          <w:rFonts w:hAnsi="仿宋_GB2312" w:cs="Times New Roman"/>
          <w:bCs w:val="0"/>
        </w:rPr>
      </w:pPr>
      <w:r>
        <w:rPr>
          <w:rFonts w:hint="eastAsia" w:hAnsi="仿宋_GB2312"/>
          <w:bCs w:val="0"/>
        </w:rPr>
        <w:t>二、</w:t>
      </w:r>
      <w:r>
        <w:rPr>
          <w:rFonts w:hint="eastAsia" w:hAnsi="仿宋_GB2312"/>
          <w:bCs w:val="0"/>
          <w:szCs w:val="28"/>
        </w:rPr>
        <w:t>学制：四年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三、培养目标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本专业培养适应现代市场经济需要的、具有国际视野和良好会计职业道德、熟悉会计准则及相关会计法规、掌握会计专业知识和会计实务操作及其管理技能，能够胜任各类企事业单位、跨国公司、银行和各类非银行金融机构、会计师事务所及其他中介组织、政府管理部门的会计、审计、理财工作的高素质的应用型人才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四、培养规格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1．知识要求及配套措施 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知识要求： 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（1）具有扎实的经济学和管理学的理论基础，系统掌握会计、审计及公司财务管理的基本理论和专业知识。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（2）熟悉我国会计及其相关法规和国际会计惯例，了解本学科理论和实务的发展动态。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（3）熟练掌握英语；熟练掌握计算机基本原理和一般操作知识；熟练掌握统计、会计电算化软件的操作。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在公共基础课、通识教育课基础上，合理安排业基础课和专业课体系，学生可以系统地学习和掌握会计学专业相关知识和实务操作技能，从而具备上述知识结构。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2．能力要求及配套措施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能力要求：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（1）具有较强自主学习能力和信息获取的能力。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（2）掌握会计、审计及公司财务管理的实务操作技能，能够运用所学知识和技能分析与解决实际业务问题。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（3）能够熟练使用英文和计算机从事本专业的业务工作。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（4）取得会计从业资格证和会计电算化证等相关证书。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通过课内实践环节和课外实践环节的设置，多样化的教学方式，引导和培养学生学以致用，从而培养学生解决实际问题的能力。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3．素质要求及配套措施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素质要求：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（1）热爱中国共产党，热爱社会主义祖国，掌握马列主义、毛泽东思想和中国特色社会主义理论体系；坚持科学发展观、人生观和价值观以及高尚的品德品质。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（2）具有适应社会的能力和团队协作能力；具有科学合理的知识结构；具有求真务实、敢于创新的科学态度。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 具有健康的体魄和一定的军事基本理论及基本技能，达到国家规定的大学生体质健康测试标准和军事训练标准。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（4）具有良好的人文素质和科学素质，具有健全的人格和良好的心理素质，具有较强的创新能力和实践能力，称为德智体美全面发展的应用型专门人才。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通过各项公共基础课、通识教育课程的学习，学生应当具备上述素质。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五、专业主干课程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会计学原理、中级财务会计、高级财务会计、成本会计、管理会计、财务管理、审计学、会计信息系统、商业论理与会计职业道德、财务报表分析。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六、专业相关课程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微观经济学、宏观经济学、管理学原理、战略管理、风险管理与内部控制制度、统计学、金融学、经济法、税法。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七、毕业学分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四年总学分为150-155学分。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八、授予学位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Ansi="仿宋_GB2312"/>
          <w:bCs w:val="0"/>
        </w:rPr>
        <w:t>毕业生</w:t>
      </w:r>
      <w:r>
        <w:rPr>
          <w:rFonts w:hint="eastAsia" w:hAnsi="仿宋_GB2312"/>
          <w:bCs w:val="0"/>
        </w:rPr>
        <w:t>条件</w:t>
      </w:r>
      <w:r>
        <w:rPr>
          <w:rFonts w:hAnsi="仿宋_GB2312"/>
          <w:bCs w:val="0"/>
        </w:rPr>
        <w:t>符合《中华人民共和国学位条例》、《中华人民共和国学位条例暂行实施办法》</w:t>
      </w:r>
      <w:r>
        <w:rPr>
          <w:rFonts w:hint="eastAsia" w:hAnsi="仿宋_GB2312"/>
          <w:bCs w:val="0"/>
        </w:rPr>
        <w:t>的规定</w:t>
      </w:r>
      <w:r>
        <w:rPr>
          <w:rFonts w:hAnsi="仿宋_GB2312"/>
          <w:bCs w:val="0"/>
        </w:rPr>
        <w:t>，经学位委员会审查通过，授予</w:t>
      </w:r>
      <w:r>
        <w:rPr>
          <w:rFonts w:hint="eastAsia" w:hAnsi="仿宋_GB2312"/>
          <w:bCs w:val="0"/>
        </w:rPr>
        <w:t>管理学</w:t>
      </w:r>
      <w:r>
        <w:rPr>
          <w:rFonts w:hAnsi="仿宋_GB2312"/>
          <w:bCs w:val="0"/>
        </w:rPr>
        <w:t>学士学位</w:t>
      </w:r>
      <w:r>
        <w:rPr>
          <w:rFonts w:hint="eastAsia" w:hAnsi="仿宋_GB2312"/>
          <w:bCs w:val="0"/>
        </w:rPr>
        <w:t>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九、各学期周学时分配表（见表一）。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十、课程结构比例表（见表二）。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十一、专业计划进程表（见表三）。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十二、实践教学环节一览表（见表四）。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十三、专业辅修、双专业、双学位课程教学计划表（见表五）。</w:t>
      </w:r>
    </w:p>
    <w:p>
      <w:pPr>
        <w:pStyle w:val="3"/>
        <w:spacing w:line="400" w:lineRule="exact"/>
        <w:rPr>
          <w:sz w:val="24"/>
          <w:szCs w:val="24"/>
        </w:rPr>
      </w:pPr>
    </w:p>
    <w:p>
      <w:pPr>
        <w:pStyle w:val="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附表一</w:t>
      </w:r>
    </w:p>
    <w:p>
      <w:pPr>
        <w:pStyle w:val="3"/>
        <w:spacing w:line="400" w:lineRule="exac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专业各学期周学时分配表</w:t>
      </w:r>
    </w:p>
    <w:p>
      <w:pPr>
        <w:pStyle w:val="3"/>
        <w:spacing w:line="400" w:lineRule="exact"/>
        <w:jc w:val="center"/>
        <w:rPr>
          <w:sz w:val="24"/>
          <w:szCs w:val="24"/>
        </w:rPr>
      </w:pPr>
    </w:p>
    <w:tbl>
      <w:tblPr>
        <w:tblStyle w:val="11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567"/>
        <w:gridCol w:w="1009"/>
        <w:gridCol w:w="993"/>
        <w:gridCol w:w="567"/>
        <w:gridCol w:w="567"/>
        <w:gridCol w:w="567"/>
        <w:gridCol w:w="567"/>
        <w:gridCol w:w="567"/>
        <w:gridCol w:w="567"/>
        <w:gridCol w:w="550"/>
        <w:gridCol w:w="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359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567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1009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993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</w:t>
            </w:r>
          </w:p>
        </w:tc>
        <w:tc>
          <w:tcPr>
            <w:tcW w:w="457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周学时与学期分配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6*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任意选修课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选修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774-864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43-48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2788-2878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150-155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6*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4**</w:t>
            </w: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附表二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专业课程结构比例表</w:t>
      </w:r>
    </w:p>
    <w:p>
      <w:pPr>
        <w:pStyle w:val="3"/>
        <w:spacing w:line="400" w:lineRule="exact"/>
        <w:ind w:firstLine="360"/>
        <w:jc w:val="center"/>
        <w:rPr>
          <w:rFonts w:hAnsi="宋体"/>
          <w:sz w:val="24"/>
          <w:szCs w:val="28"/>
        </w:rPr>
      </w:pPr>
    </w:p>
    <w:tbl>
      <w:tblPr>
        <w:tblStyle w:val="11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059"/>
        <w:gridCol w:w="883"/>
        <w:gridCol w:w="1434"/>
        <w:gridCol w:w="103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9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学分数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占总学分比例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学时数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占总学时比例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12.9%-13.33%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15.57%-16.07%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1.29%-1.33%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1.25%-1.29%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12.9%-13.33%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12.51%-12.91%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2.58%-2.67%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2.5%-2.58%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19.35%-20%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18.76%-19.37%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12.9%-13.33%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12.51%-12.91%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7.11%-7.34%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6.88%-7.1%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任意选修课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选修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43-48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28.67%-30.97%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774-864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27.77%-30.02%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353" w:type="dxa"/>
            <w:gridSpan w:val="2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合计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150-155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2788-2878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附表三</w:t>
      </w: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专业计划进程表</w:t>
      </w: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表1 公共基础课</w:t>
      </w:r>
    </w:p>
    <w:tbl>
      <w:tblPr>
        <w:tblStyle w:val="11"/>
        <w:tblpPr w:leftFromText="180" w:rightFromText="180" w:vertAnchor="text" w:tblpXSpec="center" w:tblpY="1"/>
        <w:tblOverlap w:val="never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必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修</w:t>
            </w: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t>903941001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大学英语（1-4级）</w:t>
            </w:r>
          </w:p>
          <w:p>
            <w:pPr>
              <w:pStyle w:val="7"/>
              <w:jc w:val="center"/>
            </w:pPr>
            <w:r>
              <w:t>College  English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t>902941001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体育</w:t>
            </w:r>
          </w:p>
          <w:p>
            <w:pPr>
              <w:pStyle w:val="7"/>
              <w:jc w:val="center"/>
            </w:pPr>
            <w:r>
              <w:t>Physical  Education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20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448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304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7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6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限选</w:t>
            </w: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 xml:space="preserve">201911010 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计算机应用基础</w:t>
            </w:r>
          </w:p>
          <w:p>
            <w:pPr>
              <w:pStyle w:val="7"/>
              <w:jc w:val="center"/>
            </w:pPr>
            <w:r>
              <w:t>Computer</w:t>
            </w:r>
            <w:r>
              <w:rPr>
                <w:rFonts w:hint="eastAsia"/>
              </w:rPr>
              <w:t xml:space="preserve"> </w:t>
            </w:r>
            <w:r>
              <w:t>Applic</w:t>
            </w:r>
            <w:r>
              <w:rPr>
                <w:rFonts w:hint="eastAsia"/>
              </w:rPr>
              <w:t>a</w:t>
            </w:r>
            <w:r>
              <w:t>tion</w:t>
            </w:r>
            <w:r>
              <w:rPr>
                <w:rFonts w:hint="eastAsia"/>
              </w:rPr>
              <w:t xml:space="preserve"> </w:t>
            </w:r>
            <w:r>
              <w:t>Base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规定选修 2 学分</w:t>
            </w: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表2 </w:t>
      </w:r>
      <w:r>
        <w:rPr>
          <w:rFonts w:hint="eastAsia"/>
          <w:b/>
          <w:bCs w:val="0"/>
          <w:sz w:val="32"/>
          <w:szCs w:val="32"/>
        </w:rPr>
        <w:t>思政通识教育课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思想道德修养和法律基础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中国近现代史纲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马克思主义基本原理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文史经典与文化传承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生态环境与科技进步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国史国情教育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文明对话与世界视野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哲学智慧与通达思维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艺术创作与审美体验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学生自主学习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思想政治教育实践课程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大学生心理健康教育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军事理论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就业指导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创业基础课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ind w:firstLine="34" w:firstLineChars="20"/>
              <w:jc w:val="center"/>
              <w:rPr>
                <w:rFonts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  <w:t>合 计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表3 </w:t>
      </w:r>
      <w:r>
        <w:rPr>
          <w:rFonts w:hint="eastAsia"/>
          <w:b/>
          <w:bCs w:val="0"/>
          <w:sz w:val="32"/>
          <w:szCs w:val="32"/>
        </w:rPr>
        <w:t>创业就业实践课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106211002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就业指导（实践）</w:t>
            </w:r>
            <w:r>
              <w:rPr>
                <w:sz w:val="18"/>
                <w:szCs w:val="18"/>
              </w:rPr>
              <w:t>Employment  Guidance</w:t>
            </w:r>
            <w:r>
              <w:rPr>
                <w:rFonts w:hint="eastAsia"/>
                <w:sz w:val="18"/>
                <w:szCs w:val="18"/>
              </w:rPr>
              <w:t>(Practice)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106211804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</w:t>
            </w:r>
            <w:r>
              <w:rPr>
                <w:rFonts w:hint="eastAsia"/>
                <w:sz w:val="18"/>
                <w:szCs w:val="18"/>
                <w:vertAlign w:val="superscript"/>
              </w:rPr>
              <w:t>**</w:t>
            </w:r>
            <w:r>
              <w:rPr>
                <w:rFonts w:hint="eastAsia"/>
                <w:sz w:val="18"/>
                <w:szCs w:val="18"/>
              </w:rPr>
              <w:t>（含创业基础（实践））</w:t>
            </w:r>
            <w:r>
              <w:rPr>
                <w:rStyle w:val="10"/>
              </w:rPr>
              <w:footnoteReference w:id="0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ractical 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12周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106211803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毕业论文</w:t>
            </w:r>
            <w:r>
              <w:rPr>
                <w:rFonts w:hint="eastAsia"/>
                <w:sz w:val="18"/>
                <w:szCs w:val="18"/>
                <w:vertAlign w:val="superscript"/>
              </w:rPr>
              <w:t>***</w:t>
            </w:r>
            <w:r>
              <w:rPr>
                <w:rStyle w:val="10"/>
              </w:rPr>
              <w:footnoteReference w:id="1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Thesis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Dissertation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10周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12周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10周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表4 </w:t>
      </w:r>
      <w:r>
        <w:rPr>
          <w:rFonts w:hint="eastAsia"/>
          <w:b/>
          <w:bCs w:val="0"/>
          <w:sz w:val="32"/>
          <w:szCs w:val="32"/>
        </w:rPr>
        <w:t>专业课程</w:t>
      </w:r>
    </w:p>
    <w:tbl>
      <w:tblPr>
        <w:tblStyle w:val="11"/>
        <w:tblpPr w:leftFromText="180" w:rightFromText="180" w:vertAnchor="text" w:tblpXSpec="center" w:tblpY="1"/>
        <w:tblOverlap w:val="never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478"/>
        <w:gridCol w:w="31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专业课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106111054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会计学原理</w:t>
            </w:r>
          </w:p>
          <w:p>
            <w:pPr>
              <w:pStyle w:val="7"/>
            </w:pPr>
            <w:r>
              <w:t>Principles of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106111016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基础会计手工模拟</w:t>
            </w:r>
          </w:p>
          <w:p>
            <w:pPr>
              <w:pStyle w:val="7"/>
            </w:pPr>
            <w:r>
              <w:t xml:space="preserve">Manual Simulation for Accounting 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106211008/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106211009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中级财务会计</w:t>
            </w:r>
          </w:p>
          <w:p>
            <w:pPr>
              <w:pStyle w:val="7"/>
            </w:pPr>
            <w:r>
              <w:t>Intermediate Financial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106111031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成本会计及其实验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Accounting with Simulations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106111033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管理会计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106111023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财务管理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106211011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税法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Taxation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106111020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审计学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Auditing and 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106111026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会计信息系统及其实验（上机）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Accounting Information System 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 Simulations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562 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限选</w:t>
            </w:r>
          </w:p>
        </w:tc>
        <w:tc>
          <w:tcPr>
            <w:tcW w:w="8241" w:type="dxa"/>
            <w:gridSpan w:val="1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方向一：注册会计师方向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106111065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风险管理与内部控制制度Risk Management and Internal Control System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106212034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经济法Economic</w:t>
            </w:r>
            <w:r>
              <w:rPr>
                <w:rFonts w:hint="eastAsia"/>
              </w:rPr>
              <w:t xml:space="preserve"> Law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106212035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财务报表分析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Financial Statement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106212036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7"/>
            </w:pPr>
            <w:r>
              <w:t>高级财务会计</w:t>
            </w:r>
          </w:p>
          <w:p>
            <w:pPr>
              <w:pStyle w:val="7"/>
            </w:pPr>
            <w:r>
              <w:t>Advanced Financial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106112047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商业伦理与会计职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业道德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Ethics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106212037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注册会计师（CPA）实务Certified Public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Accountant Practice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106212038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国际会计与国际会计准则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Accounting and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Accounting Standards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106212039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中国审计准则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Audit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方向二：税务会计方向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106111065</w:t>
            </w:r>
          </w:p>
        </w:tc>
        <w:tc>
          <w:tcPr>
            <w:tcW w:w="1478" w:type="dxa"/>
            <w:vAlign w:val="center"/>
          </w:tcPr>
          <w:p>
            <w:pPr>
              <w:pStyle w:val="7"/>
            </w:pPr>
            <w:r>
              <w:t>风险管理与内部控制制度Risk Management and Internal Control System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106212034</w:t>
            </w:r>
          </w:p>
        </w:tc>
        <w:tc>
          <w:tcPr>
            <w:tcW w:w="1478" w:type="dxa"/>
            <w:vAlign w:val="center"/>
          </w:tcPr>
          <w:p>
            <w:pPr>
              <w:pStyle w:val="7"/>
            </w:pPr>
            <w:r>
              <w:t>经济法Economic</w:t>
            </w:r>
            <w:r>
              <w:rPr>
                <w:rFonts w:hint="eastAsia"/>
              </w:rPr>
              <w:t xml:space="preserve"> </w:t>
            </w:r>
            <w:r>
              <w:t>Law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106212035</w:t>
            </w:r>
          </w:p>
        </w:tc>
        <w:tc>
          <w:tcPr>
            <w:tcW w:w="1478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财务报表分析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Financial Statement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106212036</w:t>
            </w:r>
          </w:p>
        </w:tc>
        <w:tc>
          <w:tcPr>
            <w:tcW w:w="1478" w:type="dxa"/>
            <w:vAlign w:val="center"/>
          </w:tcPr>
          <w:p>
            <w:pPr>
              <w:pStyle w:val="7"/>
            </w:pPr>
            <w:r>
              <w:t>高级财务会计</w:t>
            </w:r>
          </w:p>
          <w:p>
            <w:pPr>
              <w:pStyle w:val="7"/>
            </w:pPr>
            <w:r>
              <w:t>Advanced Financial Accounting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106112047</w:t>
            </w:r>
          </w:p>
        </w:tc>
        <w:tc>
          <w:tcPr>
            <w:tcW w:w="1478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商业伦理与会计职业道德Business and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Ethics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106212040</w:t>
            </w:r>
          </w:p>
        </w:tc>
        <w:tc>
          <w:tcPr>
            <w:tcW w:w="1478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</w:t>
            </w:r>
            <w:r>
              <w:rPr>
                <w:sz w:val="18"/>
                <w:szCs w:val="18"/>
              </w:rPr>
              <w:t>会计与纳税申报实务</w:t>
            </w:r>
            <w:r>
              <w:rPr>
                <w:rFonts w:hint="eastAsia"/>
                <w:sz w:val="18"/>
                <w:szCs w:val="18"/>
              </w:rPr>
              <w:t xml:space="preserve">Tax Accounting  and tax Declaration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Practice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106212041</w:t>
            </w:r>
          </w:p>
        </w:tc>
        <w:tc>
          <w:tcPr>
            <w:tcW w:w="1478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税务筹划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planning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106212042</w:t>
            </w:r>
          </w:p>
        </w:tc>
        <w:tc>
          <w:tcPr>
            <w:tcW w:w="1478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国际税收International Taxation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left"/>
        <w:rPr>
          <w:sz w:val="32"/>
          <w:szCs w:val="32"/>
        </w:rPr>
      </w:pPr>
    </w:p>
    <w:p>
      <w:pPr>
        <w:pStyle w:val="3"/>
        <w:spacing w:line="400" w:lineRule="exac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表5 </w:t>
      </w:r>
      <w:r>
        <w:rPr>
          <w:rFonts w:hint="eastAsia"/>
          <w:b/>
          <w:bCs w:val="0"/>
          <w:sz w:val="32"/>
          <w:szCs w:val="32"/>
        </w:rPr>
        <w:t>任意选修课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任意选修课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专业任选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106212020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微观经济学</w:t>
            </w:r>
          </w:p>
          <w:p>
            <w:pPr>
              <w:pStyle w:val="7"/>
            </w:pPr>
            <w:r>
              <w:t>Microeconomics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管理学原理</w:t>
            </w:r>
            <w:r>
              <w:rPr>
                <w:rFonts w:hint="eastAsia"/>
              </w:rPr>
              <w:t xml:space="preserve"> </w:t>
            </w:r>
            <w:r>
              <w:t>Principles of Management Science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106212022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统计学Statistics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106212043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金融学Finance and Banking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106212025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战略管理</w:t>
            </w:r>
            <w:r>
              <w:rPr>
                <w:rFonts w:hint="eastAsia"/>
              </w:rPr>
              <w:t xml:space="preserve"> </w:t>
            </w:r>
            <w:r>
              <w:t>Strategic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106212029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财务会计实验</w:t>
            </w:r>
          </w:p>
          <w:p>
            <w:pPr>
              <w:pStyle w:val="7"/>
            </w:pPr>
            <w:r>
              <w:t>Simulation for Financial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资本市场与运作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Capital Market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Operation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106112017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会计理论专题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Theory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106312001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会计沙盘模拟</w:t>
            </w:r>
          </w:p>
          <w:p>
            <w:pPr>
              <w:spacing w:line="22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Accounting Sand table simulation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106212002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国际金融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International Finance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106212008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宏观经济学</w:t>
            </w:r>
          </w:p>
          <w:p>
            <w:pPr>
              <w:spacing w:line="220" w:lineRule="exact"/>
              <w:jc w:val="left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Macro-Economics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106112032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财务管理专题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Management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106112038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管理会计专题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Accounting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106112042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审计理论专</w:t>
            </w:r>
            <w:r>
              <w:rPr>
                <w:rFonts w:hint="eastAsia"/>
                <w:sz w:val="18"/>
                <w:szCs w:val="18"/>
              </w:rPr>
              <w:t>题A</w:t>
            </w:r>
            <w:r>
              <w:rPr>
                <w:sz w:val="18"/>
                <w:szCs w:val="18"/>
              </w:rPr>
              <w:t>uditing Theory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会计实务课题研究与论文写作</w:t>
            </w:r>
          </w:p>
          <w:p>
            <w:pPr>
              <w:spacing w:line="220" w:lineRule="exact"/>
            </w:pPr>
            <w:r>
              <w:rPr>
                <w:sz w:val="18"/>
                <w:szCs w:val="18"/>
                <w:highlight w:val="yellow"/>
                <w:lang w:val="en-US" w:eastAsia="zh-CN"/>
              </w:rPr>
              <w:t>Accounting practice research and paper writing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106212006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非盈利组织会计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"http://dict.cn/non_2Dprofit+making+organization" </w:instrText>
            </w:r>
            <w:r>
              <w:fldChar w:fldCharType="separate"/>
            </w:r>
            <w:r>
              <w:rPr>
                <w:sz w:val="18"/>
                <w:szCs w:val="18"/>
              </w:rPr>
              <w:t>Non-Profit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106212018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商务沟通Commercial Communication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106212007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电子商务基础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Introduction to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Electronic Commerce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106112025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资产评估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Assets Appraisal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106112011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政府审计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Audit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106112013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内部审计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Audit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106212032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pStyle w:val="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高等数学 </w:t>
            </w:r>
            <w:r>
              <w:rPr>
                <w:color w:val="000000"/>
              </w:rPr>
              <w:t>Advanced  Mathematics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106212044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经济数学Ⅰ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Economic Mathematics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106212033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经济数学Ⅱ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Economic MathematicsⅡ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106112026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营销学Marketing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106112024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国际贸易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Trade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106112033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组织行为学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Organizational Behavior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106112036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Resources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106212034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生产与运作管理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Production and </w:t>
            </w:r>
          </w:p>
          <w:p>
            <w:pPr>
              <w:spacing w:line="2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0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财务与会计前沿讲座</w:t>
            </w:r>
            <w:r>
              <w:rPr>
                <w:rStyle w:val="10"/>
                <w:sz w:val="18"/>
                <w:szCs w:val="18"/>
              </w:rPr>
              <w:footnoteReference w:id="4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Management and Accounting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CFO论坛</w:t>
            </w:r>
            <w:r>
              <w:rPr>
                <w:rStyle w:val="10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CFO Forum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财经名家讲坛</w:t>
            </w:r>
            <w:r>
              <w:rPr>
                <w:rStyle w:val="10"/>
                <w:sz w:val="18"/>
                <w:szCs w:val="18"/>
              </w:rPr>
              <w:footnoteReference w:id="6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Managerial Expert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</w:t>
            </w:r>
            <w:r>
              <w:rPr>
                <w:rStyle w:val="1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101911034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 Chinese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904911001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中国文化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Chinese Culture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904912004</w:t>
            </w:r>
          </w:p>
        </w:tc>
        <w:tc>
          <w:tcPr>
            <w:tcW w:w="1509" w:type="dxa"/>
            <w:shd w:val="clear" w:color="auto" w:fill="FFFF00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人与自然 Human and 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904912002</w:t>
            </w:r>
          </w:p>
        </w:tc>
        <w:tc>
          <w:tcPr>
            <w:tcW w:w="1509" w:type="dxa"/>
            <w:shd w:val="clear" w:color="auto" w:fill="FFFF00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个人与社会 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Person and social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spacing w:line="400" w:lineRule="exact"/>
        <w:jc w:val="left"/>
        <w:rPr>
          <w:rFonts w:hAnsi="宋体"/>
          <w:sz w:val="24"/>
          <w:szCs w:val="28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 w:hAnsi="宋体"/>
          <w:sz w:val="24"/>
          <w:szCs w:val="28"/>
        </w:rPr>
        <w:t>附表四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专业实践教学环节一览表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28"/>
          <w:szCs w:val="28"/>
        </w:rPr>
      </w:pPr>
    </w:p>
    <w:tbl>
      <w:tblPr>
        <w:tblStyle w:val="11"/>
        <w:tblW w:w="844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456"/>
        <w:gridCol w:w="456"/>
        <w:gridCol w:w="456"/>
        <w:gridCol w:w="337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3" w:hRule="atLeast"/>
        </w:trPr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实践项目名称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公益劳动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参加校内服务性劳动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军事理论与训练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进行国防教育、军事技能训练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思想政治理论课社会实践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了解社会、认识国情、培养品格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校外/假期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计算机基础（上机）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计算机基础知识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创业基础（理论）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创业技能培训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专业实习（含创业基础（实践））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会计师事务所、企业、银行等校外机构的专业实习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基础会计手工模拟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进行会计记账的基本操作原理技能训练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成本会计实验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进行成本核算实训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会计信息系统实验（上机）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进行会计电算化操作技能训练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财务会计实验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进行财务会计记账的综合技能训练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会计沙盘模拟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进行商业环境下财会技能综合训练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就业指导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（理论与实践）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进行就业技能培训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财务与会计前沿讲座/ CFO论坛/财经名家讲坛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1-5,7,8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邀请学术界、实务界有影响力的学者、专家为学生开始前沿讲座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毕业论文（设计）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专业知识综合应用训练               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附表五</w:t>
      </w:r>
    </w:p>
    <w:p>
      <w:pPr>
        <w:snapToGrid w:val="0"/>
        <w:spacing w:line="480" w:lineRule="exact"/>
        <w:rPr>
          <w:rFonts w:eastAsia="黑体"/>
          <w:b/>
          <w:bCs/>
          <w:sz w:val="22"/>
        </w:rPr>
      </w:pPr>
    </w:p>
    <w:p>
      <w:pPr>
        <w:pStyle w:val="3"/>
        <w:jc w:val="center"/>
        <w:rPr>
          <w:rFonts w:hAnsi="宋体"/>
          <w:b/>
          <w:bCs w:val="0"/>
          <w:color w:val="000000"/>
          <w:spacing w:val="-6"/>
          <w:sz w:val="32"/>
          <w:szCs w:val="32"/>
        </w:rPr>
      </w:pPr>
      <w:r>
        <w:rPr>
          <w:rFonts w:hint="eastAsia" w:hAnsi="宋体"/>
          <w:b/>
          <w:bCs w:val="0"/>
          <w:color w:val="000000"/>
          <w:spacing w:val="-6"/>
          <w:sz w:val="32"/>
          <w:szCs w:val="32"/>
        </w:rPr>
        <w:t>辅修课程、辅修专业、辅修学位教学计划表</w:t>
      </w:r>
    </w:p>
    <w:p>
      <w:pPr>
        <w:pStyle w:val="3"/>
        <w:ind w:firstLine="619" w:firstLineChars="200"/>
        <w:rPr>
          <w:rFonts w:hAnsi="宋体"/>
          <w:b/>
          <w:bCs w:val="0"/>
          <w:color w:val="000000"/>
          <w:spacing w:val="-6"/>
          <w:sz w:val="32"/>
          <w:szCs w:val="32"/>
        </w:rPr>
      </w:pPr>
    </w:p>
    <w:tbl>
      <w:tblPr>
        <w:tblStyle w:val="11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070"/>
        <w:gridCol w:w="1134"/>
        <w:gridCol w:w="709"/>
        <w:gridCol w:w="567"/>
        <w:gridCol w:w="567"/>
        <w:gridCol w:w="567"/>
        <w:gridCol w:w="567"/>
        <w:gridCol w:w="567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课程编号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周学时与学期分配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106212034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经济法 Economic Constitution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106211011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税法Taxation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106212025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战略管理Strategic Management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106111065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风险管理与内部控制制度＊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 Management and Internal Control System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106111054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会计学原理＊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Principles of Accounting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106211008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106211009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中级财务会计＊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Intermediate Financial Accounting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106212036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高级财务会计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Advanced Financial Accounting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106111031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成本会计及其实验＊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 Accounting with Simulations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106111033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管理会计＊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Management Accounting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审计学＊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Auditing and Assurance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财务管理＊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Financial Management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106111026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会计信息系统及其实验＊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Accounting Information System with Simulations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54＋</w:t>
            </w: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106212029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财务会计实验Δ</w:t>
            </w:r>
          </w:p>
          <w:p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Simulation for Financial Accounting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106212041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税务筹划Δ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Tax planning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106112017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会计理论专题Δ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Accounting Theory Special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106212027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资本市场与运作Δ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Capital Market Operation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106112047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商业伦理与会计职业道德＊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Business and Accounting Ethics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106212035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财务报表分析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Analysis of Financial Statement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106212037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注册会计师（CPA）实务</w:t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Certified Public Accountant Practice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106211803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  <w:r>
              <w:rPr>
                <w:rStyle w:val="10"/>
                <w:color w:val="000000"/>
                <w:sz w:val="18"/>
                <w:szCs w:val="18"/>
              </w:rPr>
              <w:footnoteReference w:id="7"/>
            </w:r>
          </w:p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10周</w:t>
            </w:r>
          </w:p>
        </w:tc>
      </w:tr>
    </w:tbl>
    <w:p>
      <w:pPr>
        <w:rPr>
          <w:sz w:val="19"/>
        </w:rPr>
      </w:pPr>
      <w:r>
        <w:rPr>
          <w:sz w:val="19"/>
        </w:rPr>
        <w:t> </w:t>
      </w:r>
      <w:r>
        <w:rPr>
          <w:rFonts w:hint="eastAsia"/>
          <w:sz w:val="19"/>
        </w:rPr>
        <w:t>备注：</w:t>
      </w:r>
      <w:r>
        <w:rPr>
          <w:sz w:val="18"/>
          <w:szCs w:val="18"/>
        </w:rPr>
        <w:t>标有“＊”符号的为辅修学生应学的课程，共30学分。双专业的学生需要学表中</w:t>
      </w:r>
      <w:r>
        <w:rPr>
          <w:rFonts w:hint="eastAsia"/>
          <w:sz w:val="18"/>
          <w:szCs w:val="18"/>
        </w:rPr>
        <w:t>不带</w:t>
      </w:r>
      <w:r>
        <w:rPr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Δ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符号</w:t>
      </w:r>
      <w:r>
        <w:rPr>
          <w:sz w:val="18"/>
          <w:szCs w:val="18"/>
        </w:rPr>
        <w:t>的全部课程，共5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学分。</w:t>
      </w:r>
      <w:r>
        <w:rPr>
          <w:rFonts w:hint="eastAsia"/>
          <w:sz w:val="18"/>
          <w:szCs w:val="18"/>
        </w:rPr>
        <w:t>双学位的学生需要学表中全部课程，共60学分。如果原专业修过表中的课程，则需要另外补修财务管理专业的其他课程（具体课程由会计学系确定）。</w:t>
      </w:r>
    </w:p>
    <w:p>
      <w:pPr>
        <w:pStyle w:val="3"/>
        <w:spacing w:line="4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创业基础（实践）课程包含在专业实习之中，在第6学期完成。</w:t>
      </w:r>
    </w:p>
  </w:footnote>
  <w:footnote w:id="1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毕业论文自第7学期开始布置到第8学期第10周完成。</w:t>
      </w:r>
    </w:p>
  </w:footnote>
  <w:footnote w:id="2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本课程开设内容为概率论与数理统计，主要为考研究生的学生开设。</w:t>
      </w:r>
    </w:p>
  </w:footnote>
  <w:footnote w:id="3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本课程开设内容为线性代数，主要为考研究生的学生开设。</w:t>
      </w:r>
    </w:p>
  </w:footnote>
  <w:footnote w:id="4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本课程聘请具有副教授及其以上职称的专家授课。</w:t>
      </w:r>
    </w:p>
  </w:footnote>
  <w:footnote w:id="5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本课程请校外实务界具有高级职称且担任CFO及其以上职务的专家授课。</w:t>
      </w:r>
    </w:p>
  </w:footnote>
  <w:footnote w:id="6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本课程聘请学术界知名教授授课。</w:t>
      </w:r>
    </w:p>
  </w:footnote>
  <w:footnote w:id="7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毕业论文自第7学期开始布置到第8学期第10周完成。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275"/>
    <w:rsid w:val="0004768D"/>
    <w:rsid w:val="0004777B"/>
    <w:rsid w:val="0005625F"/>
    <w:rsid w:val="00071D78"/>
    <w:rsid w:val="00072DDC"/>
    <w:rsid w:val="00080FBA"/>
    <w:rsid w:val="000A36E4"/>
    <w:rsid w:val="000C36FC"/>
    <w:rsid w:val="000D35F7"/>
    <w:rsid w:val="000F1C25"/>
    <w:rsid w:val="0013345E"/>
    <w:rsid w:val="00134B38"/>
    <w:rsid w:val="00136A1B"/>
    <w:rsid w:val="00157D78"/>
    <w:rsid w:val="001A60B5"/>
    <w:rsid w:val="001B73B6"/>
    <w:rsid w:val="001D43E0"/>
    <w:rsid w:val="001E2E1A"/>
    <w:rsid w:val="001F136D"/>
    <w:rsid w:val="001F40ED"/>
    <w:rsid w:val="00227A42"/>
    <w:rsid w:val="00233930"/>
    <w:rsid w:val="0023686B"/>
    <w:rsid w:val="00245C3D"/>
    <w:rsid w:val="00273275"/>
    <w:rsid w:val="0027592D"/>
    <w:rsid w:val="00284DFA"/>
    <w:rsid w:val="00292B06"/>
    <w:rsid w:val="002C7963"/>
    <w:rsid w:val="00313CE5"/>
    <w:rsid w:val="003A64DA"/>
    <w:rsid w:val="0047018B"/>
    <w:rsid w:val="004A140E"/>
    <w:rsid w:val="004A7621"/>
    <w:rsid w:val="004F6B61"/>
    <w:rsid w:val="005504AB"/>
    <w:rsid w:val="005A78F4"/>
    <w:rsid w:val="005C16CD"/>
    <w:rsid w:val="005D2CDB"/>
    <w:rsid w:val="005D3090"/>
    <w:rsid w:val="005E7940"/>
    <w:rsid w:val="006100E7"/>
    <w:rsid w:val="006B797A"/>
    <w:rsid w:val="006C007C"/>
    <w:rsid w:val="006E5D4A"/>
    <w:rsid w:val="0072273A"/>
    <w:rsid w:val="007E6BB4"/>
    <w:rsid w:val="00881BD9"/>
    <w:rsid w:val="00885BDB"/>
    <w:rsid w:val="00887092"/>
    <w:rsid w:val="00890E35"/>
    <w:rsid w:val="008C5082"/>
    <w:rsid w:val="00941E63"/>
    <w:rsid w:val="009439E8"/>
    <w:rsid w:val="00947887"/>
    <w:rsid w:val="00972FEE"/>
    <w:rsid w:val="009943BC"/>
    <w:rsid w:val="00996741"/>
    <w:rsid w:val="009C009A"/>
    <w:rsid w:val="009D3DDA"/>
    <w:rsid w:val="009E2BC5"/>
    <w:rsid w:val="00A144E1"/>
    <w:rsid w:val="00A35594"/>
    <w:rsid w:val="00A45C24"/>
    <w:rsid w:val="00A6389B"/>
    <w:rsid w:val="00A65FC9"/>
    <w:rsid w:val="00A719DC"/>
    <w:rsid w:val="00AA796E"/>
    <w:rsid w:val="00AD3610"/>
    <w:rsid w:val="00B705CF"/>
    <w:rsid w:val="00BA1981"/>
    <w:rsid w:val="00BC1D54"/>
    <w:rsid w:val="00C0150B"/>
    <w:rsid w:val="00C0476C"/>
    <w:rsid w:val="00C31DE5"/>
    <w:rsid w:val="00CE4626"/>
    <w:rsid w:val="00D0095C"/>
    <w:rsid w:val="00D00AF3"/>
    <w:rsid w:val="00D102F5"/>
    <w:rsid w:val="00D173CE"/>
    <w:rsid w:val="00D26454"/>
    <w:rsid w:val="00D3242F"/>
    <w:rsid w:val="00D64685"/>
    <w:rsid w:val="00DB01E6"/>
    <w:rsid w:val="00DB4FC2"/>
    <w:rsid w:val="00DC1F91"/>
    <w:rsid w:val="00DE2374"/>
    <w:rsid w:val="00DF297E"/>
    <w:rsid w:val="00E15FD4"/>
    <w:rsid w:val="00E21D1D"/>
    <w:rsid w:val="00E51053"/>
    <w:rsid w:val="00E65C90"/>
    <w:rsid w:val="00E8281E"/>
    <w:rsid w:val="00F60EC1"/>
    <w:rsid w:val="00F63D67"/>
    <w:rsid w:val="00FB49C7"/>
    <w:rsid w:val="00FC4D6D"/>
    <w:rsid w:val="0910796B"/>
    <w:rsid w:val="0E604ACC"/>
    <w:rsid w:val="0F737665"/>
    <w:rsid w:val="166D65D9"/>
    <w:rsid w:val="1B61067A"/>
    <w:rsid w:val="1EA85B59"/>
    <w:rsid w:val="282D4176"/>
    <w:rsid w:val="32907C03"/>
    <w:rsid w:val="35871E5F"/>
    <w:rsid w:val="45A40651"/>
    <w:rsid w:val="47257848"/>
    <w:rsid w:val="4B257D58"/>
    <w:rsid w:val="4F005AAA"/>
    <w:rsid w:val="529B6A86"/>
    <w:rsid w:val="53B547E4"/>
    <w:rsid w:val="5475139F"/>
    <w:rsid w:val="57533E35"/>
    <w:rsid w:val="5C5B3413"/>
    <w:rsid w:val="5CFF07C4"/>
    <w:rsid w:val="5D1C3851"/>
    <w:rsid w:val="5EDE56B0"/>
    <w:rsid w:val="5F451BDC"/>
    <w:rsid w:val="6DF21637"/>
    <w:rsid w:val="6F56170C"/>
    <w:rsid w:val="738F0782"/>
    <w:rsid w:val="763428FA"/>
    <w:rsid w:val="7A5D64F7"/>
    <w:rsid w:val="7AB001D5"/>
    <w:rsid w:val="7AD1070A"/>
    <w:rsid w:val="7C1E3C2F"/>
    <w:rsid w:val="7C873AB1"/>
    <w:rsid w:val="7FB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link w:val="13"/>
    <w:uiPriority w:val="0"/>
    <w:rPr>
      <w:rFonts w:ascii="宋体" w:hAnsi="Courier New" w:cs="Courier New"/>
      <w:bCs/>
      <w:szCs w:val="21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styleId="10">
    <w:name w:val="footnote reference"/>
    <w:uiPriority w:val="0"/>
    <w:rPr>
      <w:vertAlign w:val="superscript"/>
    </w:rPr>
  </w:style>
  <w:style w:type="paragraph" w:customStyle="1" w:styleId="12">
    <w:name w:val="Char Char Char Char"/>
    <w:basedOn w:val="1"/>
    <w:uiPriority w:val="0"/>
    <w:pPr>
      <w:adjustRightInd w:val="0"/>
      <w:spacing w:line="360" w:lineRule="atLeast"/>
      <w:textAlignment w:val="baseline"/>
    </w:pPr>
  </w:style>
  <w:style w:type="character" w:customStyle="1" w:styleId="13">
    <w:name w:val="纯文本 Char"/>
    <w:link w:val="3"/>
    <w:uiPriority w:val="0"/>
    <w:rPr>
      <w:rFonts w:ascii="宋体" w:hAnsi="Courier New" w:eastAsia="宋体" w:cs="Courier New"/>
      <w:bCs/>
      <w:kern w:val="2"/>
      <w:sz w:val="21"/>
      <w:szCs w:val="21"/>
      <w:lang w:val="en-US" w:eastAsia="zh-CN" w:bidi="ar-SA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character" w:customStyle="1" w:styleId="16">
    <w:name w:val="脚注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脚注文本 Char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NanFang</Company>
  <Pages>16</Pages>
  <Words>1552</Words>
  <Characters>8849</Characters>
  <Lines>73</Lines>
  <Paragraphs>20</Paragraphs>
  <ScaleCrop>false</ScaleCrop>
  <LinksUpToDate>false</LinksUpToDate>
  <CharactersWithSpaces>10381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2015-07-09T00:54:00Z</dcterms:created>
  <dc:creator>微软用户</dc:creator>
  <cp:lastModifiedBy>kjxx</cp:lastModifiedBy>
  <cp:lastPrinted>2013-07-05T03:43:00Z</cp:lastPrinted>
  <dcterms:modified xsi:type="dcterms:W3CDTF">2017-09-22T02:56:30Z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